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ED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《塑料积木玩具 说明书编制指引》</w:t>
      </w:r>
    </w:p>
    <w:p w14:paraId="1A1D8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团体标准编制说明</w:t>
      </w:r>
    </w:p>
    <w:p w14:paraId="2EAE54BF">
      <w:pPr>
        <w:rPr>
          <w:rFonts w:hint="eastAsia"/>
        </w:rPr>
      </w:pPr>
    </w:p>
    <w:p w14:paraId="6945AF0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标准制定背景</w:t>
      </w:r>
    </w:p>
    <w:p w14:paraId="3000250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塑料积木玩具兼具益智启蒙、高可玩性与广泛年龄适应性，是全球玩具市场的重要品类。近年来，国产塑料积木在颗粒精度、材料品质与制造工艺方面取得显著提升，部分头部企业的产品已逐步接近国际先进水平。然而，拼装说明书的设计水平已成为制约用户体验的关键短板，直接影响产品价值传递与品牌口碑。</w:t>
      </w:r>
    </w:p>
    <w:p w14:paraId="13638AB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2024年3月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《塑料积木玩具 质量要求与分级》团体标准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立项后，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组深入澄海等塑料积木主产区调研，走访生产企业、检测机构与行业协会调研，发现大量产品说明书存在图示混淆、步骤跳跃、箭头指向不明、深色零件难以区分、符号使用随意、安全警示位置不醒目等问题，导致消费者反复拆装、产生挫败感，甚至引发误装和安全隐患。尤其在深色或同色系零件集中出现的步骤中，缺乏有效的轮廓区分与色彩逻辑，用户难以辨认，拼装体验显著下降。与此同时，部分中小企业在说明书绘制上依赖模仿、缺乏规范，既拉低了产品整体品质感，也增加了售后咨询与退换货成本。</w:t>
      </w:r>
    </w:p>
    <w:p w14:paraId="3F61FEE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现行GB 6675系列国家标准主要聚焦玩具安全要求，对说明书的内容结构、图形符号、步骤逻辑等缺乏专项规范，无法为企业提供系统性的编制指导。与国际头部品牌相比，国产积木在说明书设计上的差距已从“辅助环节”上升为影响品牌溢价与市场竞争力的重要因素。</w:t>
      </w:r>
    </w:p>
    <w:p w14:paraId="700242A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基于上述背景，在推进《塑料积木玩具 质量要求与分级》标准研制过程中，工作组充分认识到说明书编制规范的紧迫性与必要性，提出同步开展《塑料积木玩具 说明书编制指引》团体标准的制定工作，并于2026年8月由中国消费品质量安全促进会批准立项。</w:t>
      </w:r>
    </w:p>
    <w:p w14:paraId="10F6FD5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制定目的</w:t>
      </w:r>
    </w:p>
    <w:p w14:paraId="4B4A517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标准旨在填补国内塑料积木玩具说明书专项标准空白，建立科学、统一、可操作的编制指导。通过明确说明书的视觉语言、图形符号、步骤逻辑、安全信息呈现等核心要素的技术要求，解决当前积木说明书设计水平参差不齐、用户阅读障碍多、安全警示不够醒目等共性问题，引导企业从“能看懂”向“愉快装”的用户体验升级。</w:t>
      </w:r>
    </w:p>
    <w:p w14:paraId="4E018F9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同时，以统一、直观的图形化语言减少对多语言翻译的依赖，降低跨国沟通成本及因说明书表述不清引发的售后负担，为中小企业提供可参照的设计准绳，拉齐行业整体水平。本标准与《塑料积木玩具 质量要求与分级》团体标准配套使用，共同完善塑料积木玩具质量与体验标准体系，支撑“中国积木”品牌化战略，推动产业从价格竞争向价值竞争转型。</w:t>
      </w:r>
    </w:p>
    <w:p w14:paraId="68BEDBE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为此，由汕头市高德斯精密科技有限公司牵头，联合广州海关技术中心、汕头市标准化协会等单位提出本标准编制申请，并于2026年8月获中国消费品质量安全促进会批准立项。</w:t>
      </w:r>
    </w:p>
    <w:p w14:paraId="4E09AC3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编制原则和主要内容</w:t>
      </w:r>
    </w:p>
    <w:p w14:paraId="171A7762">
      <w:pPr>
        <w:numPr>
          <w:ilvl w:val="0"/>
          <w:numId w:val="4"/>
        </w:numPr>
        <w:ind w:left="0" w:leftChars="0" w:firstLine="420" w:firstLineChars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编制原则</w:t>
      </w:r>
    </w:p>
    <w:p w14:paraId="7E5ACFD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本标准的制定符合产业发展的需要，本着先进性、科学性、合理性和可操作性的原则，按照GB/T 1.1-2020《标准化工作导则 第1部分：标准化文件的结构和起草规则》的规定起草。</w:t>
      </w:r>
    </w:p>
    <w:p w14:paraId="4907DDD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在标准编制过程中，遵循以下核心原则：</w:t>
      </w:r>
    </w:p>
    <w:p w14:paraId="4D3FB80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开放性</w:t>
      </w:r>
      <w:r>
        <w:rPr>
          <w:rFonts w:hint="eastAsia" w:ascii="仿宋_GB2312" w:hAnsi="仿宋_GB2312" w:eastAsia="仿宋_GB2312" w:cs="仿宋_GB2312"/>
          <w:sz w:val="32"/>
          <w:szCs w:val="32"/>
        </w:rPr>
        <w:t>：标准编制充分吸收来自科研机构、社会组织等相关方的代表参与标准起草，广泛听取来自各相关方的意见与建议。</w:t>
      </w:r>
    </w:p>
    <w:p w14:paraId="690518F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可操作性</w:t>
      </w:r>
      <w:r>
        <w:rPr>
          <w:rFonts w:hint="eastAsia" w:ascii="仿宋_GB2312" w:hAnsi="仿宋_GB2312" w:eastAsia="仿宋_GB2312" w:cs="仿宋_GB2312"/>
          <w:sz w:val="32"/>
          <w:szCs w:val="32"/>
        </w:rPr>
        <w:t>：指标设定充分考虑行业实际生产能力和检测可行性。</w:t>
      </w:r>
    </w:p>
    <w:p w14:paraId="7EC1BA3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协调性：</w:t>
      </w:r>
      <w:r>
        <w:rPr>
          <w:rFonts w:hint="eastAsia" w:ascii="仿宋_GB2312" w:hAnsi="仿宋_GB2312" w:eastAsia="仿宋_GB2312" w:cs="仿宋_GB2312"/>
          <w:sz w:val="32"/>
          <w:szCs w:val="32"/>
        </w:rPr>
        <w:t>本文件符合国家政策，贯彻国家的法律法规，标准起草过程中加强各相关方沟通联系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32CFA31">
      <w:pPr>
        <w:numPr>
          <w:ilvl w:val="0"/>
          <w:numId w:val="4"/>
        </w:numPr>
        <w:ind w:left="0" w:leftChars="0" w:firstLine="420" w:firstLineChars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标准结构</w:t>
      </w:r>
    </w:p>
    <w:p w14:paraId="6739D42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本文件按照GB/T 1.1—2020《标准化工作导则 第1部分：标准化文件的结构和起草规则》和GB/T 20001.7—2017《标准编写规则 第7部分：指南标准》的规定起草。标准正文由范围、规范性引用文件、术语和定义、基本原则、内容构成、视觉元素、拼装引导和电子说明等8章构成。</w:t>
      </w:r>
    </w:p>
    <w:p w14:paraId="1C1EF622">
      <w:pPr>
        <w:numPr>
          <w:ilvl w:val="0"/>
          <w:numId w:val="4"/>
        </w:numPr>
        <w:ind w:left="0" w:leftChars="0" w:firstLine="420" w:firstLineChars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标准主要内容说明</w:t>
      </w:r>
    </w:p>
    <w:p w14:paraId="688EDA6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范围</w:t>
      </w:r>
    </w:p>
    <w:p w14:paraId="5174B8C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本文件提供了塑料积木玩具说明书编制的基本原则、内容构成、视觉元素、拼装引导和电子说明等的指导。</w:t>
      </w:r>
    </w:p>
    <w:p w14:paraId="72B6B11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本文件适用于塑料积木玩具说明书的编制，针对14岁以上成人玩家的积木及其他拼装玩具的说明书可参照使用。</w:t>
      </w:r>
    </w:p>
    <w:p w14:paraId="4D5205B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基本原则</w:t>
      </w:r>
    </w:p>
    <w:p w14:paraId="0BFD0FE8">
      <w:pPr>
        <w:numPr>
          <w:ilvl w:val="1"/>
          <w:numId w:val="6"/>
        </w:numPr>
        <w:tabs>
          <w:tab w:val="clear" w:pos="0"/>
        </w:tabs>
        <w:ind w:left="567" w:leftChars="0" w:firstLine="73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图形优先</w:t>
      </w:r>
    </w:p>
    <w:p w14:paraId="31A4DB1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说明书宜以图形化表达为核心，减少文字依赖，确保图纸精度、色彩准确、排版清晰。</w:t>
      </w:r>
    </w:p>
    <w:p w14:paraId="5835402A">
      <w:pPr>
        <w:numPr>
          <w:ilvl w:val="1"/>
          <w:numId w:val="6"/>
        </w:numPr>
        <w:tabs>
          <w:tab w:val="clear" w:pos="0"/>
        </w:tabs>
        <w:ind w:left="567" w:leftChars="0" w:firstLine="73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逻辑有序</w:t>
      </w:r>
    </w:p>
    <w:p w14:paraId="78118AD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拼装步骤宜按“自下而上、先内后外、同层同步”的顺序组织；复杂套组宜模块化分解，支持并行拼装后组合。</w:t>
      </w:r>
    </w:p>
    <w:p w14:paraId="0802D6E4">
      <w:pPr>
        <w:numPr>
          <w:ilvl w:val="1"/>
          <w:numId w:val="6"/>
        </w:numPr>
        <w:tabs>
          <w:tab w:val="clear" w:pos="0"/>
        </w:tabs>
        <w:ind w:left="567" w:leftChars="0" w:firstLine="73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表达精准</w:t>
      </w:r>
    </w:p>
    <w:p w14:paraId="5C9D3CB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统一采用固定等距透视，以高对比色块与边界框界定操作区域，确保空间关系清晰，避免认知偏差。</w:t>
      </w:r>
    </w:p>
    <w:p w14:paraId="5EDE89FD">
      <w:pPr>
        <w:numPr>
          <w:ilvl w:val="1"/>
          <w:numId w:val="6"/>
        </w:numPr>
        <w:tabs>
          <w:tab w:val="clear" w:pos="0"/>
        </w:tabs>
        <w:ind w:left="567" w:leftChars="0" w:firstLine="73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版式统一</w:t>
      </w:r>
    </w:p>
    <w:p w14:paraId="5754C54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积木图形、步骤分解、比例尺等核心元素宜实行统一版式标准，形成一致识别体系，降低用户认知负荷。</w:t>
      </w:r>
    </w:p>
    <w:p w14:paraId="417AA27C">
      <w:pPr>
        <w:numPr>
          <w:ilvl w:val="1"/>
          <w:numId w:val="6"/>
        </w:numPr>
        <w:tabs>
          <w:tab w:val="clear" w:pos="0"/>
        </w:tabs>
        <w:ind w:left="567" w:leftChars="0" w:firstLine="73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品牌融入</w:t>
      </w:r>
    </w:p>
    <w:p w14:paraId="4B5A26C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在保障功能性的前提下，适度融入品牌视觉与体验设计元素，提升产品辨识度与拼装价值感。</w:t>
      </w:r>
    </w:p>
    <w:p w14:paraId="4CCAA76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内容构成</w:t>
      </w:r>
    </w:p>
    <w:p w14:paraId="7AA1918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指导了说明书包含的基本模块及内容，包括但不限于：</w:t>
      </w:r>
    </w:p>
    <w:p w14:paraId="4874E1CB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封面/封底应展示成品、品牌信息、产品名称与编号、适用年龄、积木件数及分包册编号等；</w:t>
      </w:r>
    </w:p>
    <w:p w14:paraId="11DD0EBD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概述指引部分可包含故事背景、总体拼装指引、品牌简介与注意事项、成品细节及特殊零件说明等；</w:t>
      </w:r>
    </w:p>
    <w:p w14:paraId="00B14518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拼装步骤作为说明书核心主体，其页数占比宜不低于90%，单个步骤涉及零件种类不宜超过5种，以降低取件与识别难度；</w:t>
      </w:r>
    </w:p>
    <w:p w14:paraId="570FBA8B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积木清单及售后信息应包括完整零件清单、补件说明及使用反馈渠道等。</w:t>
      </w:r>
    </w:p>
    <w:p w14:paraId="13D610B2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视觉元素</w:t>
      </w:r>
    </w:p>
    <w:p w14:paraId="7F56E22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对说明书图形语言的表达规则作出指导，主要包括：</w:t>
      </w:r>
    </w:p>
    <w:p w14:paraId="3D0EE98A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图形，统一采用45°等距视角，明确主图、小图、零件提示区、轮廓线、新旧零件区分、编号标注及其他展示图的功能与要求；</w:t>
      </w:r>
    </w:p>
    <w:p w14:paraId="02AADC71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比例尺，对易混淆或不易辨认的零件宜设置实物比例尺，推荐采用1∶1比例印制并标注比例值；</w:t>
      </w:r>
    </w:p>
    <w:p w14:paraId="0710F915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安全与警示，提供了年龄标识与警告图标的标注，并根据产品实际部件功能补充其他必要警示；</w:t>
      </w:r>
    </w:p>
    <w:p w14:paraId="35815C1B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组装点与指引线，提供了辅助线、插入方向箭头、零件朝向标注及文字辅助的使用规则；</w:t>
      </w:r>
    </w:p>
    <w:p w14:paraId="38FD4683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动作与方向符号方面，提供了插入/推入、旋转/翻转、按压/卡扣到位、动作顺序编号等符号表达方式；</w:t>
      </w:r>
    </w:p>
    <w:p w14:paraId="3028146D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状态指示图标，提供了翻转图标、视角转换图标、对齐与居中标记、完成状态指示的运用。</w:t>
      </w:r>
    </w:p>
    <w:p w14:paraId="41519120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拼装引导</w:t>
      </w:r>
    </w:p>
    <w:p w14:paraId="1DEDD69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拼装步骤的逻辑组织与呈现方式。</w:t>
      </w:r>
    </w:p>
    <w:p w14:paraId="5F527ACE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步骤逻辑方面，提供了大底板先行、分层与对称、复杂组合预拼、内构优先及模块化并行等思路；</w:t>
      </w:r>
    </w:p>
    <w:p w14:paraId="1C2FE8B5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排版与分册，指导了拼装步骤按顺序编号，单页步骤数量不宜过多，宜采用左右排版，大型套组可分册装订以便翻阅与协作等内容；</w:t>
      </w:r>
    </w:p>
    <w:p w14:paraId="32D51F9A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零件分包指引，提供了分包标识和分包对照表的设置方式，确保用户清晰掌握各步骤零件来源；</w:t>
      </w:r>
    </w:p>
    <w:p w14:paraId="43827C7F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封边与展示方面，提供了最终步骤完成标志性零件安装并设置成品展示图；</w:t>
      </w:r>
    </w:p>
    <w:p w14:paraId="1BA205E7">
      <w:pPr>
        <w:numPr>
          <w:ilvl w:val="0"/>
          <w:numId w:val="7"/>
        </w:numPr>
        <w:ind w:left="42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年龄段适配，按3+、8+、14+划分，分别给出低龄、中龄、高龄段说明书设计适配要求，并强调各年龄段均须标注适用年龄标识及相应安全警告图标。</w:t>
      </w:r>
    </w:p>
    <w:p w14:paraId="4561323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编制过程</w:t>
      </w:r>
    </w:p>
    <w:p w14:paraId="1AA7A571">
      <w:pPr>
        <w:numPr>
          <w:ilvl w:val="0"/>
          <w:numId w:val="8"/>
        </w:numPr>
        <w:ind w:left="0" w:leftChars="0" w:firstLine="420" w:firstLineChars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前期筹备阶段（202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 w:cs="楷体"/>
          <w:sz w:val="32"/>
          <w:szCs w:val="32"/>
        </w:rPr>
        <w:t>年6月—202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月）</w:t>
      </w:r>
    </w:p>
    <w:p w14:paraId="2B135084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产业调研与需求分析</w:t>
      </w:r>
    </w:p>
    <w:p w14:paraId="514CE9D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组开展了塑料积木玩具产业调研，走访了汕头市澄海区多家塑料积木生产企业，了解行业发展现状、技术水平和标准需求。调研发现，澄海作为国内塑料积木核心产区，产业规模全国领先，但行业质量无统一评价标尺，互换性不足。</w:t>
      </w:r>
    </w:p>
    <w:p w14:paraId="78534E00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数据收集与对标分析：</w:t>
      </w:r>
    </w:p>
    <w:p w14:paraId="250717C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收集了乐高等国际品牌的产品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说明书内容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，以及高德斯等国内企业的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设计</w:t>
      </w:r>
      <w:r>
        <w:rPr>
          <w:rFonts w:hint="eastAsia" w:ascii="仿宋_GB2312" w:hAnsi="仿宋_GB2312" w:eastAsia="仿宋_GB2312" w:cs="仿宋_GB2312"/>
          <w:sz w:val="32"/>
          <w:szCs w:val="32"/>
        </w:rPr>
        <w:t>。通过对比分析，明确了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大小积木</w:t>
      </w:r>
      <w:r>
        <w:rPr>
          <w:rFonts w:hint="eastAsia" w:ascii="仿宋_GB2312" w:hAnsi="仿宋_GB2312" w:eastAsia="仿宋_GB2312" w:cs="仿宋_GB2312"/>
          <w:sz w:val="32"/>
          <w:szCs w:val="32"/>
        </w:rPr>
        <w:t>品牌的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拼装说明书</w:t>
      </w:r>
      <w:r>
        <w:rPr>
          <w:rFonts w:hint="eastAsia" w:ascii="仿宋_GB2312" w:hAnsi="仿宋_GB2312" w:eastAsia="仿宋_GB2312" w:cs="仿宋_GB2312"/>
          <w:sz w:val="32"/>
          <w:szCs w:val="32"/>
        </w:rPr>
        <w:t>差距和提升方向。</w:t>
      </w:r>
    </w:p>
    <w:p w14:paraId="701F4ADA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工作组组建</w:t>
      </w:r>
    </w:p>
    <w:p w14:paraId="62AE4B8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由汕头市高德斯精密科技有限公司牵头，联合广州海关技术中心、汕头市标准化协会，组建标准起草工作组。明确了职责分工、时间节点和任务清单。</w:t>
      </w:r>
    </w:p>
    <w:p w14:paraId="15991AB0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立项申报</w:t>
      </w:r>
    </w:p>
    <w:p w14:paraId="2E3D651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确定了标准名称、适用范围和核心技术框架，编制立项材料。向中国消费品质量安全促进会提交团体标准立项申请，完成立项评审和正式立项备案。</w:t>
      </w:r>
    </w:p>
    <w:p w14:paraId="6A3B3E9C">
      <w:pPr>
        <w:numPr>
          <w:ilvl w:val="0"/>
          <w:numId w:val="8"/>
        </w:numPr>
        <w:ind w:left="0" w:leftChars="0" w:firstLine="420" w:firstLineChars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草案编制与论证阶段（202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7</w:t>
      </w:r>
      <w:r>
        <w:rPr>
          <w:rFonts w:hint="eastAsia" w:ascii="楷体" w:hAnsi="楷体" w:eastAsia="楷体" w:cs="楷体"/>
          <w:sz w:val="32"/>
          <w:szCs w:val="32"/>
        </w:rPr>
        <w:t>月—202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8</w:t>
      </w:r>
      <w:r>
        <w:rPr>
          <w:rFonts w:hint="eastAsia" w:ascii="楷体" w:hAnsi="楷体" w:eastAsia="楷体" w:cs="楷体"/>
          <w:sz w:val="32"/>
          <w:szCs w:val="32"/>
        </w:rPr>
        <w:t>月）</w:t>
      </w:r>
    </w:p>
    <w:p w14:paraId="61A42193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标准初稿编制</w:t>
      </w:r>
    </w:p>
    <w:p w14:paraId="1C20689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依据GB/T 1.1-2020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和GB/T 20001.7—2017</w:t>
      </w:r>
      <w:r>
        <w:rPr>
          <w:rFonts w:hint="eastAsia" w:ascii="仿宋_GB2312" w:hAnsi="仿宋_GB2312" w:eastAsia="仿宋_GB2312" w:cs="仿宋_GB2312"/>
          <w:sz w:val="32"/>
          <w:szCs w:val="32"/>
        </w:rPr>
        <w:t>标准化编写规则，编制标准文本初稿和编制说明。确定了标准的核心技术框架，包括基本原则、内容构成、视觉元素、拼装引导和电子说明等关键章节。</w:t>
      </w:r>
    </w:p>
    <w:p w14:paraId="3F309735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内部研讨与修改</w:t>
      </w:r>
    </w:p>
    <w:p w14:paraId="45CCEA0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2026年7月，工作组组织第一次内部研讨会，主要针对标准文件的技术框架进行确认进一步的讨论与确定。</w:t>
      </w:r>
    </w:p>
    <w:p w14:paraId="4DA4ED8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2026年8月27日，工作组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第二次</w:t>
      </w:r>
      <w:r>
        <w:rPr>
          <w:rFonts w:hint="eastAsia" w:ascii="仿宋_GB2312" w:hAnsi="仿宋_GB2312" w:eastAsia="仿宋_GB2312" w:cs="仿宋_GB2312"/>
          <w:sz w:val="32"/>
          <w:szCs w:val="32"/>
        </w:rPr>
        <w:t>次内部研讨会议，邀请行业专家、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龙头企业等相关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人员参与讨论，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针对标准中具体条款以及关键技术指标进行讨论，</w:t>
      </w:r>
      <w:r>
        <w:rPr>
          <w:rFonts w:hint="eastAsia" w:ascii="仿宋_GB2312" w:hAnsi="仿宋_GB2312" w:eastAsia="仿宋_GB2312" w:cs="仿宋_GB2312"/>
          <w:sz w:val="32"/>
          <w:szCs w:val="32"/>
        </w:rPr>
        <w:t>修订标准草案，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</w:t>
      </w:r>
      <w:r>
        <w:rPr>
          <w:rFonts w:hint="eastAsia" w:ascii="仿宋_GB2312" w:hAnsi="仿宋_GB2312" w:eastAsia="仿宋_GB2312" w:cs="仿宋_GB2312"/>
          <w:sz w:val="32"/>
          <w:szCs w:val="32"/>
        </w:rPr>
        <w:t>优化条款内容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最终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形成规范完整的标准征求意见稿。</w:t>
      </w:r>
    </w:p>
    <w:p w14:paraId="414364D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与重大分歧意见的处理和依据</w:t>
      </w:r>
    </w:p>
    <w:p w14:paraId="1C36F61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无。</w:t>
      </w:r>
    </w:p>
    <w:p w14:paraId="1351E16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与有关的现行法律、法规和强制性标准的关系</w:t>
      </w:r>
    </w:p>
    <w:p w14:paraId="25E7EC1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本标准与有关的现行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法律、法规和强制性标准不冲突。</w:t>
      </w:r>
    </w:p>
    <w:p w14:paraId="28A442EF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67E1A8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7964CD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0A98E521">
      <w:pPr>
        <w:jc w:val="right"/>
        <w:rPr>
          <w:rFonts w:hint="eastAsia" w:ascii="仿宋_GB2312" w:hAnsi="仿宋_GB2312" w:eastAsia="仿宋_GB2312" w:cs="仿宋_GB2312"/>
          <w:w w:val="90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0"/>
          <w:sz w:val="32"/>
          <w:szCs w:val="32"/>
        </w:rPr>
        <w:t>《塑料积木玩具 说明书编制指引》团体标准起草工作组</w:t>
      </w:r>
    </w:p>
    <w:p w14:paraId="61D2BE97">
      <w:pPr>
        <w:ind w:firstLine="4480" w:firstLineChars="1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2026年8月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30BD12"/>
    <w:multiLevelType w:val="singleLevel"/>
    <w:tmpl w:val="9830BD1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A9976C52"/>
    <w:multiLevelType w:val="singleLevel"/>
    <w:tmpl w:val="A9976C5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B1E19DF9"/>
    <w:multiLevelType w:val="singleLevel"/>
    <w:tmpl w:val="B1E19DF9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BB6637B4"/>
    <w:multiLevelType w:val="singleLevel"/>
    <w:tmpl w:val="BB6637B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C1083722"/>
    <w:multiLevelType w:val="singleLevel"/>
    <w:tmpl w:val="C108372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 w:ascii="黑体" w:hAnsi="黑体" w:eastAsia="黑体" w:cs="黑体"/>
      </w:rPr>
    </w:lvl>
  </w:abstractNum>
  <w:abstractNum w:abstractNumId="5">
    <w:nsid w:val="F5E1F0D0"/>
    <w:multiLevelType w:val="singleLevel"/>
    <w:tmpl w:val="F5E1F0D0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1842DB23"/>
    <w:multiLevelType w:val="singleLevel"/>
    <w:tmpl w:val="1842DB2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1BD40C82"/>
    <w:multiLevelType w:val="multilevel"/>
    <w:tmpl w:val="1BD40C8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suff w:val="nothing"/>
      <w:lvlText w:val="2.%2."/>
      <w:lvlJc w:val="left"/>
      <w:pPr>
        <w:tabs>
          <w:tab w:val="left" w:pos="0"/>
        </w:tabs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8">
    <w:nsid w:val="2C5917C3"/>
    <w:multiLevelType w:val="multilevel"/>
    <w:tmpl w:val="2C5917C3"/>
    <w:lvl w:ilvl="0" w:tentative="0">
      <w:start w:val="1"/>
      <w:numFmt w:val="none"/>
      <w:pStyle w:val="9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9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10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D23AD"/>
    <w:rsid w:val="00CA15A5"/>
    <w:rsid w:val="018E5AF2"/>
    <w:rsid w:val="02420D3D"/>
    <w:rsid w:val="031F78B1"/>
    <w:rsid w:val="03993379"/>
    <w:rsid w:val="03B976C1"/>
    <w:rsid w:val="040D2B1B"/>
    <w:rsid w:val="05AB4232"/>
    <w:rsid w:val="06737199"/>
    <w:rsid w:val="071B2D26"/>
    <w:rsid w:val="08DA6AC0"/>
    <w:rsid w:val="090D12BC"/>
    <w:rsid w:val="09382ED2"/>
    <w:rsid w:val="09BD57D8"/>
    <w:rsid w:val="0A5B7E05"/>
    <w:rsid w:val="0B45793E"/>
    <w:rsid w:val="0B8B47FB"/>
    <w:rsid w:val="0D2C77AB"/>
    <w:rsid w:val="0E7D3C55"/>
    <w:rsid w:val="0EA9219A"/>
    <w:rsid w:val="0FA201B4"/>
    <w:rsid w:val="102C333C"/>
    <w:rsid w:val="11421D1E"/>
    <w:rsid w:val="11C803B6"/>
    <w:rsid w:val="12D150EF"/>
    <w:rsid w:val="12EA0F15"/>
    <w:rsid w:val="130B6F5C"/>
    <w:rsid w:val="13515442"/>
    <w:rsid w:val="13E2789A"/>
    <w:rsid w:val="13E85C58"/>
    <w:rsid w:val="14E45836"/>
    <w:rsid w:val="18300B23"/>
    <w:rsid w:val="19495496"/>
    <w:rsid w:val="19F65454"/>
    <w:rsid w:val="1A100C0A"/>
    <w:rsid w:val="1A640A2C"/>
    <w:rsid w:val="1AD87250"/>
    <w:rsid w:val="1B9405AB"/>
    <w:rsid w:val="1C683EE6"/>
    <w:rsid w:val="1FA55DFC"/>
    <w:rsid w:val="1FBD1721"/>
    <w:rsid w:val="205F2F58"/>
    <w:rsid w:val="21A10F1D"/>
    <w:rsid w:val="21BA7A65"/>
    <w:rsid w:val="231C0FC3"/>
    <w:rsid w:val="24263CA9"/>
    <w:rsid w:val="2456609F"/>
    <w:rsid w:val="24857B78"/>
    <w:rsid w:val="25323514"/>
    <w:rsid w:val="263F494B"/>
    <w:rsid w:val="264C74E4"/>
    <w:rsid w:val="275A7108"/>
    <w:rsid w:val="283E5112"/>
    <w:rsid w:val="284101E2"/>
    <w:rsid w:val="28534406"/>
    <w:rsid w:val="28A46041"/>
    <w:rsid w:val="292E3D6B"/>
    <w:rsid w:val="29D63449"/>
    <w:rsid w:val="2A0C0919"/>
    <w:rsid w:val="2AFF5914"/>
    <w:rsid w:val="2C6C3271"/>
    <w:rsid w:val="2DFE03A6"/>
    <w:rsid w:val="2E930678"/>
    <w:rsid w:val="2ECE7A44"/>
    <w:rsid w:val="2FD0158F"/>
    <w:rsid w:val="2FDA422A"/>
    <w:rsid w:val="2FDC1914"/>
    <w:rsid w:val="32BF2D77"/>
    <w:rsid w:val="33B020BC"/>
    <w:rsid w:val="34014CC9"/>
    <w:rsid w:val="34153282"/>
    <w:rsid w:val="35527E1C"/>
    <w:rsid w:val="356E34B4"/>
    <w:rsid w:val="35974B6D"/>
    <w:rsid w:val="35F66AB0"/>
    <w:rsid w:val="3691168E"/>
    <w:rsid w:val="392809E4"/>
    <w:rsid w:val="3B3955B9"/>
    <w:rsid w:val="3C0F6516"/>
    <w:rsid w:val="3CC63F16"/>
    <w:rsid w:val="3D78424E"/>
    <w:rsid w:val="3E205CB3"/>
    <w:rsid w:val="3E987658"/>
    <w:rsid w:val="409D5390"/>
    <w:rsid w:val="40FC1F60"/>
    <w:rsid w:val="414D4CF4"/>
    <w:rsid w:val="4233056C"/>
    <w:rsid w:val="42684BFF"/>
    <w:rsid w:val="42DC0DDB"/>
    <w:rsid w:val="44DF1057"/>
    <w:rsid w:val="45066509"/>
    <w:rsid w:val="452125AC"/>
    <w:rsid w:val="45261A91"/>
    <w:rsid w:val="46040D75"/>
    <w:rsid w:val="46295027"/>
    <w:rsid w:val="471362A9"/>
    <w:rsid w:val="47EF3AA7"/>
    <w:rsid w:val="4819662E"/>
    <w:rsid w:val="48542D62"/>
    <w:rsid w:val="4886557A"/>
    <w:rsid w:val="48FF6894"/>
    <w:rsid w:val="49616B65"/>
    <w:rsid w:val="4AED2B52"/>
    <w:rsid w:val="4BA9472E"/>
    <w:rsid w:val="4BFB0CB5"/>
    <w:rsid w:val="4C231829"/>
    <w:rsid w:val="4C3F04A5"/>
    <w:rsid w:val="4C6A1C59"/>
    <w:rsid w:val="4C7B65A2"/>
    <w:rsid w:val="4C8554C1"/>
    <w:rsid w:val="4CB1795F"/>
    <w:rsid w:val="4CDF6854"/>
    <w:rsid w:val="4F94266D"/>
    <w:rsid w:val="4FD6416C"/>
    <w:rsid w:val="50316AEA"/>
    <w:rsid w:val="509E57AB"/>
    <w:rsid w:val="5103491F"/>
    <w:rsid w:val="510718D5"/>
    <w:rsid w:val="513A18F3"/>
    <w:rsid w:val="522B287D"/>
    <w:rsid w:val="52582B00"/>
    <w:rsid w:val="532F2F36"/>
    <w:rsid w:val="53522541"/>
    <w:rsid w:val="53B03223"/>
    <w:rsid w:val="53FC61C8"/>
    <w:rsid w:val="540F4E41"/>
    <w:rsid w:val="54A80623"/>
    <w:rsid w:val="55353138"/>
    <w:rsid w:val="558038C4"/>
    <w:rsid w:val="55ED12E0"/>
    <w:rsid w:val="55ED29C8"/>
    <w:rsid w:val="56054FAD"/>
    <w:rsid w:val="572A03E1"/>
    <w:rsid w:val="597B6E60"/>
    <w:rsid w:val="5AAD2CF1"/>
    <w:rsid w:val="5B4A22D1"/>
    <w:rsid w:val="5BA12BCF"/>
    <w:rsid w:val="5C2A6B4C"/>
    <w:rsid w:val="5CB5062A"/>
    <w:rsid w:val="5DF042DF"/>
    <w:rsid w:val="5E142764"/>
    <w:rsid w:val="5E1F6F28"/>
    <w:rsid w:val="5E2609C4"/>
    <w:rsid w:val="5FF34165"/>
    <w:rsid w:val="606F2632"/>
    <w:rsid w:val="610619ED"/>
    <w:rsid w:val="61706C06"/>
    <w:rsid w:val="62CA27A3"/>
    <w:rsid w:val="641920C5"/>
    <w:rsid w:val="64A53594"/>
    <w:rsid w:val="65164566"/>
    <w:rsid w:val="655820EC"/>
    <w:rsid w:val="697F756C"/>
    <w:rsid w:val="69C8232E"/>
    <w:rsid w:val="6A5924A0"/>
    <w:rsid w:val="6A63194C"/>
    <w:rsid w:val="6AC45A36"/>
    <w:rsid w:val="6B94610F"/>
    <w:rsid w:val="6C386F35"/>
    <w:rsid w:val="6CDA788A"/>
    <w:rsid w:val="6DA32F6B"/>
    <w:rsid w:val="6E6E2FB9"/>
    <w:rsid w:val="700730DA"/>
    <w:rsid w:val="706C4764"/>
    <w:rsid w:val="70D56CE6"/>
    <w:rsid w:val="712B4136"/>
    <w:rsid w:val="717F6C52"/>
    <w:rsid w:val="71B8639A"/>
    <w:rsid w:val="72CE08E3"/>
    <w:rsid w:val="732E4011"/>
    <w:rsid w:val="739E743E"/>
    <w:rsid w:val="747B1953"/>
    <w:rsid w:val="770B70DA"/>
    <w:rsid w:val="77EF6453"/>
    <w:rsid w:val="781863F2"/>
    <w:rsid w:val="79252C7E"/>
    <w:rsid w:val="79907C4E"/>
    <w:rsid w:val="7B7A5AD3"/>
    <w:rsid w:val="7D256667"/>
    <w:rsid w:val="7D53622B"/>
    <w:rsid w:val="7EA73659"/>
    <w:rsid w:val="7F53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customStyle="1" w:styleId="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7">
    <w:name w:val="标准文件_章标题"/>
    <w:next w:val="6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">
    <w:name w:val="标准文件_一级条标题"/>
    <w:basedOn w:val="7"/>
    <w:next w:val="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9">
    <w:name w:val="标准文件_一级项"/>
    <w:qFormat/>
    <w:uiPriority w:val="0"/>
    <w:pPr>
      <w:numPr>
        <w:ilvl w:val="0"/>
        <w:numId w:val="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">
    <w:name w:val="标准文件_二级条标题"/>
    <w:next w:val="6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3625</Words>
  <Characters>3781</Characters>
  <Lines>0</Lines>
  <Paragraphs>0</Paragraphs>
  <TotalTime>0</TotalTime>
  <ScaleCrop>false</ScaleCrop>
  <LinksUpToDate>false</LinksUpToDate>
  <CharactersWithSpaces>3793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2026-08-30T10:11:00Z</dcterms:created>
  <dc:creator>我爱金拱门</dc:creator>
  <cp:lastModifiedBy>勋</cp:lastModifiedBy>
  <dcterms:modified xsi:type="dcterms:W3CDTF">2026-09-01T08:13:14Z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eyJoZGlkIjoiM2JmM2NiNmYwNzYyMTUyNTYzNDk1MjY2ZWMyMjI0MjciLCJ1c2VySWQiOiIyMjg4Mjk0NTQifQ==</vt:lpwstr>
  </property>
  <property fmtid="{D5CDD505-2E9C-101B-9397-08002B2CF9AE}" pid="4" name="ICV">
    <vt:lpwstr>6A4CA1E4F6B3441582547E0691FCE262_13</vt:lpwstr>
  </property>
</Properties>
</file>